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E30" w:rsidRDefault="002C1E30"/>
    <w:p w:rsidR="0092588E" w:rsidRDefault="0092588E">
      <w:pPr>
        <w:rPr>
          <w:sz w:val="160"/>
        </w:rPr>
      </w:pPr>
      <w:r>
        <w:rPr>
          <w:sz w:val="160"/>
        </w:rPr>
        <w:t>IKB Nederland</w:t>
      </w:r>
    </w:p>
    <w:p w:rsidR="0092588E" w:rsidRDefault="0092588E">
      <w:pPr>
        <w:rPr>
          <w:sz w:val="24"/>
          <w:szCs w:val="24"/>
        </w:rPr>
      </w:pPr>
    </w:p>
    <w:p w:rsidR="0092588E" w:rsidRPr="0092588E" w:rsidRDefault="0092588E">
      <w:pPr>
        <w:rPr>
          <w:sz w:val="24"/>
          <w:szCs w:val="24"/>
        </w:rPr>
      </w:pPr>
      <w:r>
        <w:rPr>
          <w:sz w:val="24"/>
          <w:szCs w:val="24"/>
        </w:rPr>
        <w:t>Wat is IKB Nederland?</w:t>
      </w:r>
    </w:p>
    <w:p w:rsidR="00433D35" w:rsidRPr="00433D35" w:rsidRDefault="00433D35" w:rsidP="00433D35">
      <w:pPr>
        <w:shd w:val="clear" w:color="auto" w:fill="FFFFFF"/>
        <w:spacing w:before="100" w:beforeAutospacing="1" w:after="100" w:afterAutospacing="1" w:line="255" w:lineRule="atLeast"/>
        <w:rPr>
          <w:rFonts w:ascii="Verdana" w:eastAsia="Times New Roman" w:hAnsi="Verdana" w:cs="Times New Roman"/>
          <w:sz w:val="20"/>
          <w:szCs w:val="18"/>
          <w:lang w:eastAsia="nl-NL"/>
        </w:rPr>
      </w:pPr>
      <w:r w:rsidRPr="00433D35">
        <w:rPr>
          <w:rFonts w:ascii="Verdana" w:eastAsia="Times New Roman" w:hAnsi="Verdana" w:cs="Times New Roman"/>
          <w:sz w:val="20"/>
          <w:szCs w:val="18"/>
          <w:lang w:eastAsia="nl-NL"/>
        </w:rPr>
        <w:t xml:space="preserve">IKB is een systeem dat sinds de jaren ’90 is ontwikkeld om de kwaliteit van vee, vlees en eieren te garanderen. Een bedrijf kan vrijwillig deel nemen aan IKB. Wanneer men meedoet, moet men zich wel aan de regels houden. De IKB-voorwaarden verschillen per schakel in de productieketen en per diersoort maar zijn vaak strenger dan de wet. Bij IKB worden geen extra eisen gesteld die gericht zijn op dierenwelzijn of het milieu. Het keurmerk voor IKB geeft aan dat er bij de gehele productieketen (productie, transport, verwerking) extra controles plaatsvinden. Er wordt gekeken of er aan de wettelijke eisen voor veevoer, medicijngebruik, dierenwelzijn, voedselveiligheid, etc. voldaan wordt. Het IKB is ontwikkeld om garanties te kunnen geven over de kwaliteit van het product, de herkomst en de manier van produceren. De volgende IKB systemen zijn bekend: </w:t>
      </w:r>
    </w:p>
    <w:p w:rsidR="00433D35" w:rsidRPr="00433D35" w:rsidRDefault="00433D35" w:rsidP="00433D35">
      <w:pPr>
        <w:numPr>
          <w:ilvl w:val="0"/>
          <w:numId w:val="1"/>
        </w:numPr>
        <w:shd w:val="clear" w:color="auto" w:fill="FFFFFF"/>
        <w:spacing w:after="0" w:line="255" w:lineRule="atLeast"/>
        <w:ind w:left="450"/>
        <w:rPr>
          <w:rFonts w:ascii="Verdana" w:eastAsia="Times New Roman" w:hAnsi="Verdana" w:cs="Times New Roman"/>
          <w:sz w:val="20"/>
          <w:szCs w:val="18"/>
          <w:lang w:eastAsia="nl-NL"/>
        </w:rPr>
      </w:pPr>
      <w:r w:rsidRPr="00433D35">
        <w:rPr>
          <w:rFonts w:ascii="Verdana" w:eastAsia="Times New Roman" w:hAnsi="Verdana" w:cs="Times New Roman"/>
          <w:sz w:val="20"/>
          <w:szCs w:val="18"/>
          <w:lang w:eastAsia="nl-NL"/>
        </w:rPr>
        <w:t>IKB Kip (</w:t>
      </w:r>
      <w:proofErr w:type="spellStart"/>
      <w:r w:rsidRPr="00433D35">
        <w:rPr>
          <w:rFonts w:ascii="Verdana" w:eastAsia="Times New Roman" w:hAnsi="Verdana" w:cs="Times New Roman"/>
          <w:sz w:val="20"/>
          <w:szCs w:val="18"/>
          <w:lang w:eastAsia="nl-NL"/>
        </w:rPr>
        <w:t>vleeskuikenhouderij</w:t>
      </w:r>
      <w:proofErr w:type="spellEnd"/>
      <w:r w:rsidRPr="00433D35">
        <w:rPr>
          <w:rFonts w:ascii="Verdana" w:eastAsia="Times New Roman" w:hAnsi="Verdana" w:cs="Times New Roman"/>
          <w:sz w:val="20"/>
          <w:szCs w:val="18"/>
          <w:lang w:eastAsia="nl-NL"/>
        </w:rPr>
        <w:t>);</w:t>
      </w:r>
    </w:p>
    <w:p w:rsidR="00433D35" w:rsidRPr="00433D35" w:rsidRDefault="00433D35" w:rsidP="00433D35">
      <w:pPr>
        <w:numPr>
          <w:ilvl w:val="0"/>
          <w:numId w:val="1"/>
        </w:numPr>
        <w:shd w:val="clear" w:color="auto" w:fill="FFFFFF"/>
        <w:spacing w:after="0" w:line="255" w:lineRule="atLeast"/>
        <w:ind w:left="450"/>
        <w:rPr>
          <w:rFonts w:ascii="Verdana" w:eastAsia="Times New Roman" w:hAnsi="Verdana" w:cs="Times New Roman"/>
          <w:sz w:val="20"/>
          <w:szCs w:val="18"/>
          <w:lang w:eastAsia="nl-NL"/>
        </w:rPr>
      </w:pPr>
      <w:r w:rsidRPr="00433D35">
        <w:rPr>
          <w:rFonts w:ascii="Verdana" w:eastAsia="Times New Roman" w:hAnsi="Verdana" w:cs="Times New Roman"/>
          <w:sz w:val="20"/>
          <w:szCs w:val="18"/>
          <w:lang w:eastAsia="nl-NL"/>
        </w:rPr>
        <w:t>IKB Konijn (vleeskonijnensector);</w:t>
      </w:r>
    </w:p>
    <w:p w:rsidR="00433D35" w:rsidRPr="00433D35" w:rsidRDefault="00433D35" w:rsidP="00433D35">
      <w:pPr>
        <w:numPr>
          <w:ilvl w:val="0"/>
          <w:numId w:val="1"/>
        </w:numPr>
        <w:shd w:val="clear" w:color="auto" w:fill="FFFFFF"/>
        <w:spacing w:after="0" w:line="255" w:lineRule="atLeast"/>
        <w:ind w:left="450"/>
        <w:rPr>
          <w:rFonts w:ascii="Verdana" w:eastAsia="Times New Roman" w:hAnsi="Verdana" w:cs="Times New Roman"/>
          <w:sz w:val="20"/>
          <w:szCs w:val="18"/>
          <w:lang w:eastAsia="nl-NL"/>
        </w:rPr>
      </w:pPr>
      <w:r w:rsidRPr="00433D35">
        <w:rPr>
          <w:rFonts w:ascii="Verdana" w:eastAsia="Times New Roman" w:hAnsi="Verdana" w:cs="Times New Roman"/>
          <w:sz w:val="20"/>
          <w:szCs w:val="18"/>
          <w:lang w:eastAsia="nl-NL"/>
        </w:rPr>
        <w:t>IKB PSB (pluimveeservicebedrijven);</w:t>
      </w:r>
    </w:p>
    <w:p w:rsidR="00433D35" w:rsidRPr="00433D35" w:rsidRDefault="00433D35" w:rsidP="000169FD">
      <w:pPr>
        <w:numPr>
          <w:ilvl w:val="0"/>
          <w:numId w:val="1"/>
        </w:numPr>
        <w:shd w:val="clear" w:color="auto" w:fill="FFFFFF"/>
        <w:spacing w:after="180" w:line="255" w:lineRule="atLeast"/>
        <w:ind w:left="450"/>
        <w:rPr>
          <w:rFonts w:ascii="Verdana" w:eastAsia="Times New Roman" w:hAnsi="Verdana" w:cs="Times New Roman"/>
          <w:sz w:val="20"/>
          <w:szCs w:val="18"/>
          <w:lang w:eastAsia="nl-NL"/>
        </w:rPr>
      </w:pPr>
      <w:r w:rsidRPr="00433D35">
        <w:rPr>
          <w:rFonts w:ascii="Verdana" w:eastAsia="Times New Roman" w:hAnsi="Verdana" w:cs="Times New Roman"/>
          <w:sz w:val="20"/>
          <w:szCs w:val="18"/>
          <w:lang w:eastAsia="nl-NL"/>
        </w:rPr>
        <w:t>IKB EI (legpluimveesector).</w:t>
      </w:r>
    </w:p>
    <w:p w:rsidR="0092588E" w:rsidRDefault="0092588E">
      <w:pPr>
        <w:rPr>
          <w:rFonts w:ascii="Arial" w:hAnsi="Arial" w:cs="Arial"/>
          <w:color w:val="333333"/>
          <w:sz w:val="20"/>
          <w:szCs w:val="18"/>
        </w:rPr>
      </w:pPr>
    </w:p>
    <w:p w:rsidR="00433D35" w:rsidRPr="00A44287" w:rsidRDefault="00433D35" w:rsidP="00A44287">
      <w:pPr>
        <w:ind w:left="12" w:firstLine="708"/>
        <w:rPr>
          <w:rFonts w:ascii="Arial" w:hAnsi="Arial" w:cs="Arial"/>
          <w:sz w:val="20"/>
          <w:szCs w:val="20"/>
        </w:rPr>
      </w:pPr>
      <w:r w:rsidRPr="00A44287">
        <w:rPr>
          <w:rFonts w:ascii="Arial" w:hAnsi="Arial" w:cs="Arial"/>
          <w:sz w:val="20"/>
          <w:szCs w:val="20"/>
        </w:rPr>
        <w:t>Regelgeving</w:t>
      </w:r>
    </w:p>
    <w:p w:rsidR="00433D35" w:rsidRPr="00433D35" w:rsidRDefault="00433D35" w:rsidP="00433D35">
      <w:pPr>
        <w:pStyle w:val="Lijstalinea"/>
        <w:rPr>
          <w:rFonts w:ascii="Arial" w:hAnsi="Arial" w:cs="Arial"/>
          <w:sz w:val="20"/>
          <w:szCs w:val="20"/>
        </w:rPr>
      </w:pPr>
    </w:p>
    <w:p w:rsidR="00433D35" w:rsidRDefault="00433D35" w:rsidP="00433D35">
      <w:pPr>
        <w:pStyle w:val="Lijstalinea"/>
        <w:rPr>
          <w:rFonts w:ascii="Verdana" w:hAnsi="Verdana"/>
          <w:sz w:val="20"/>
          <w:szCs w:val="20"/>
        </w:rPr>
      </w:pPr>
      <w:r w:rsidRPr="00433D35">
        <w:rPr>
          <w:rFonts w:ascii="Verdana" w:hAnsi="Verdana"/>
          <w:sz w:val="20"/>
          <w:szCs w:val="20"/>
        </w:rPr>
        <w:t>In de IKB Varken-voorschriften zijn onder meer voorschriften opgenomen met betrekking tot diergeneesmiddelengebruik, dierwelzijn, huisvesting, diergezondheid, begeleiding door de dierenarts, hygiëne en administratie. Sommige voorschriften bevatten ook elementen uit publieke regelgeving. Een aantal welzijnsvoorschriften komt bijvoorbeeld uit het Besluit houders van dieren, dit besluit bevat per 1 juli 2014 o.a. de huisvestingseisen voor varkens zoals voorheen opgenomen in het Varkensbesluit.</w:t>
      </w:r>
      <w:r w:rsidRPr="00433D35">
        <w:rPr>
          <w:rFonts w:ascii="Verdana" w:hAnsi="Verdana"/>
          <w:sz w:val="20"/>
          <w:szCs w:val="20"/>
        </w:rPr>
        <w:br/>
      </w:r>
      <w:r w:rsidRPr="00433D35">
        <w:rPr>
          <w:rFonts w:ascii="Verdana" w:hAnsi="Verdana"/>
          <w:sz w:val="20"/>
          <w:szCs w:val="20"/>
        </w:rPr>
        <w:br/>
        <w:t>In het kader van de wettelijke verplichte registratie van het antibioticagebruik dient iedere varkenshouder zorg te dragen voor registratie van elk op zijn bedrijf geleverd antibioticum in de daartoe aangewezen databank (</w:t>
      </w:r>
      <w:proofErr w:type="spellStart"/>
      <w:r w:rsidRPr="00433D35">
        <w:rPr>
          <w:rFonts w:ascii="Verdana" w:hAnsi="Verdana"/>
          <w:sz w:val="20"/>
          <w:szCs w:val="20"/>
        </w:rPr>
        <w:t>InfoVarken</w:t>
      </w:r>
      <w:proofErr w:type="spellEnd"/>
      <w:r w:rsidRPr="00433D35">
        <w:rPr>
          <w:rFonts w:ascii="Verdana" w:hAnsi="Verdana"/>
          <w:sz w:val="20"/>
          <w:szCs w:val="20"/>
        </w:rPr>
        <w:t xml:space="preserve">). Registratie vindt in de praktijk doorgaans plaats door de dierenarts. De wetgeving vereist tevens dat een bedrijfsgezondheidsplan en een bedrijfsbehandelplan worden opgesteld. Door </w:t>
      </w:r>
      <w:r w:rsidRPr="00433D35">
        <w:rPr>
          <w:rFonts w:ascii="Verdana" w:hAnsi="Verdana"/>
          <w:sz w:val="20"/>
          <w:szCs w:val="20"/>
        </w:rPr>
        <w:lastRenderedPageBreak/>
        <w:t>deelname aan IKB Varken voldoet een gecertificeerde deelnemer aan IKB Varken tevens aan deze wettelijke verplichtingen.</w:t>
      </w:r>
    </w:p>
    <w:p w:rsidR="00433D35" w:rsidRDefault="00433D35" w:rsidP="00433D35">
      <w:pPr>
        <w:pStyle w:val="Lijstalinea"/>
        <w:rPr>
          <w:rFonts w:ascii="Verdana" w:hAnsi="Verdana"/>
          <w:sz w:val="20"/>
          <w:szCs w:val="20"/>
        </w:rPr>
      </w:pPr>
    </w:p>
    <w:p w:rsidR="00433D35" w:rsidRDefault="00A62971" w:rsidP="00433D35">
      <w:pPr>
        <w:pStyle w:val="Lijstalinea"/>
        <w:numPr>
          <w:ilvl w:val="0"/>
          <w:numId w:val="2"/>
        </w:numPr>
        <w:rPr>
          <w:rFonts w:ascii="Arial" w:hAnsi="Arial" w:cs="Arial"/>
          <w:sz w:val="20"/>
          <w:szCs w:val="20"/>
        </w:rPr>
      </w:pPr>
      <w:r>
        <w:rPr>
          <w:rFonts w:ascii="Arial" w:hAnsi="Arial" w:cs="Arial"/>
          <w:sz w:val="20"/>
          <w:szCs w:val="20"/>
        </w:rPr>
        <w:t>Diervoeder</w:t>
      </w:r>
    </w:p>
    <w:p w:rsidR="00A62971" w:rsidRPr="00A62971" w:rsidRDefault="00A62971" w:rsidP="00A62971">
      <w:pPr>
        <w:ind w:left="360"/>
        <w:rPr>
          <w:rFonts w:ascii="Arial" w:hAnsi="Arial" w:cs="Arial"/>
          <w:sz w:val="20"/>
          <w:szCs w:val="20"/>
        </w:rPr>
      </w:pPr>
    </w:p>
    <w:p w:rsidR="00A62971" w:rsidRDefault="00A62971" w:rsidP="00A62971">
      <w:pPr>
        <w:ind w:left="360"/>
        <w:rPr>
          <w:rFonts w:ascii="Verdana" w:hAnsi="Verdana"/>
          <w:sz w:val="20"/>
          <w:szCs w:val="20"/>
        </w:rPr>
      </w:pPr>
      <w:r w:rsidRPr="00A62971">
        <w:rPr>
          <w:rFonts w:ascii="Arial" w:hAnsi="Arial" w:cs="Arial"/>
          <w:sz w:val="20"/>
          <w:szCs w:val="20"/>
        </w:rPr>
        <w:t xml:space="preserve"> </w:t>
      </w:r>
      <w:r w:rsidRPr="00A62971">
        <w:rPr>
          <w:rFonts w:ascii="Arial" w:hAnsi="Arial" w:cs="Arial"/>
          <w:sz w:val="20"/>
          <w:szCs w:val="20"/>
        </w:rPr>
        <w:tab/>
      </w:r>
      <w:r w:rsidRPr="00A62971">
        <w:rPr>
          <w:rFonts w:ascii="Verdana" w:hAnsi="Verdana"/>
          <w:sz w:val="20"/>
          <w:szCs w:val="20"/>
        </w:rPr>
        <w:t xml:space="preserve">Diervoeders vormen een belangrijke schakel in de dierlijke productieketen. Zij hebben directe </w:t>
      </w:r>
      <w:r w:rsidRPr="00A62971">
        <w:rPr>
          <w:rFonts w:ascii="Verdana" w:hAnsi="Verdana"/>
          <w:sz w:val="20"/>
          <w:szCs w:val="20"/>
        </w:rPr>
        <w:t xml:space="preserve"> </w:t>
      </w:r>
      <w:r w:rsidRPr="00A62971">
        <w:rPr>
          <w:rFonts w:ascii="Verdana" w:hAnsi="Verdana"/>
          <w:sz w:val="20"/>
          <w:szCs w:val="20"/>
        </w:rPr>
        <w:t>invloed op de kwaliteit en veiligheid van voedingsmiddelen van dierlijke oorsprong. Consumenten van vlees, melk en eieren verwachten dat industrie en detailhandel veilige en kwalitatief hoogstaande producten leveren. De overheid heeft in de diervoederwetgeving daartoe regels vastgelegd die de kwaliteit van diervoeders waarborgen.</w:t>
      </w:r>
      <w:r w:rsidRPr="00A62971">
        <w:rPr>
          <w:rFonts w:ascii="Verdana" w:hAnsi="Verdana"/>
          <w:sz w:val="20"/>
          <w:szCs w:val="20"/>
        </w:rPr>
        <w:br/>
      </w:r>
      <w:r w:rsidRPr="00A62971">
        <w:rPr>
          <w:rFonts w:ascii="Verdana" w:hAnsi="Verdana"/>
          <w:sz w:val="20"/>
          <w:szCs w:val="20"/>
        </w:rPr>
        <w:br/>
        <w:t xml:space="preserve">Bedrijven in de diervoedersector kunnen een stap verder gaan door over te gaan tot </w:t>
      </w:r>
      <w:proofErr w:type="spellStart"/>
      <w:r w:rsidRPr="00A62971">
        <w:rPr>
          <w:rFonts w:ascii="Verdana" w:hAnsi="Verdana"/>
          <w:sz w:val="20"/>
          <w:szCs w:val="20"/>
        </w:rPr>
        <w:t>Good</w:t>
      </w:r>
      <w:proofErr w:type="spellEnd"/>
      <w:r w:rsidRPr="00A62971">
        <w:rPr>
          <w:rFonts w:ascii="Verdana" w:hAnsi="Verdana"/>
          <w:sz w:val="20"/>
          <w:szCs w:val="20"/>
        </w:rPr>
        <w:t xml:space="preserve"> Manufacturing </w:t>
      </w:r>
      <w:proofErr w:type="spellStart"/>
      <w:r w:rsidRPr="00A62971">
        <w:rPr>
          <w:rFonts w:ascii="Verdana" w:hAnsi="Verdana"/>
          <w:sz w:val="20"/>
          <w:szCs w:val="20"/>
        </w:rPr>
        <w:t>Practice</w:t>
      </w:r>
      <w:proofErr w:type="spellEnd"/>
      <w:r w:rsidRPr="00A62971">
        <w:rPr>
          <w:rFonts w:ascii="Verdana" w:hAnsi="Verdana"/>
          <w:sz w:val="20"/>
          <w:szCs w:val="20"/>
        </w:rPr>
        <w:t>. Deze regeling is bekend als de GMP+ regeling.</w:t>
      </w:r>
      <w:r w:rsidRPr="00A62971">
        <w:rPr>
          <w:rFonts w:ascii="Verdana" w:hAnsi="Verdana"/>
          <w:sz w:val="20"/>
          <w:szCs w:val="20"/>
        </w:rPr>
        <w:br/>
      </w:r>
      <w:r w:rsidRPr="00A62971">
        <w:rPr>
          <w:rFonts w:ascii="Verdana" w:hAnsi="Verdana"/>
          <w:sz w:val="20"/>
          <w:szCs w:val="20"/>
        </w:rPr>
        <w:br/>
        <w:t xml:space="preserve">Varkenshouders die aan het IKB Varken systeem deelnemen, zijn verplicht diervoeders af te nemen van GMP+ erkende veevoerleveranciers en van productiebedrijven die kunnen aantonen dat ze gecertificeerd zijn volgens de Country </w:t>
      </w:r>
      <w:proofErr w:type="spellStart"/>
      <w:r w:rsidRPr="00A62971">
        <w:rPr>
          <w:rFonts w:ascii="Verdana" w:hAnsi="Verdana"/>
          <w:sz w:val="20"/>
          <w:szCs w:val="20"/>
        </w:rPr>
        <w:t>Note</w:t>
      </w:r>
      <w:proofErr w:type="spellEnd"/>
      <w:r w:rsidRPr="00A62971">
        <w:rPr>
          <w:rFonts w:ascii="Verdana" w:hAnsi="Verdana"/>
          <w:sz w:val="20"/>
          <w:szCs w:val="20"/>
        </w:rPr>
        <w:t xml:space="preserve"> GMP+BCN-NL1 Antibioticavrij diervoeder. </w:t>
      </w:r>
      <w:r w:rsidRPr="00A62971">
        <w:rPr>
          <w:rFonts w:ascii="Verdana" w:hAnsi="Verdana"/>
          <w:sz w:val="20"/>
          <w:szCs w:val="20"/>
        </w:rPr>
        <w:br/>
      </w:r>
      <w:r w:rsidRPr="00A62971">
        <w:rPr>
          <w:rFonts w:ascii="Verdana" w:hAnsi="Verdana"/>
          <w:sz w:val="20"/>
          <w:szCs w:val="20"/>
        </w:rPr>
        <w:br/>
        <w:t xml:space="preserve">Varkenshouders die voeders gebruiken van eigen teelt of </w:t>
      </w:r>
      <w:proofErr w:type="spellStart"/>
      <w:r w:rsidRPr="00A62971">
        <w:rPr>
          <w:rFonts w:ascii="Verdana" w:hAnsi="Verdana"/>
          <w:sz w:val="20"/>
          <w:szCs w:val="20"/>
        </w:rPr>
        <w:t>buurmans</w:t>
      </w:r>
      <w:proofErr w:type="spellEnd"/>
      <w:r w:rsidRPr="00A62971">
        <w:rPr>
          <w:rFonts w:ascii="Verdana" w:hAnsi="Verdana"/>
          <w:sz w:val="20"/>
          <w:szCs w:val="20"/>
        </w:rPr>
        <w:t xml:space="preserve"> teelt zijn gehouden aan extra eisen, zoals die zijn vastgelegd in IKB Varken. Dit voer voldoet daarmee aan de eisen van de GMP code Voer voor teelt van diervoedergrondstoffen. </w:t>
      </w:r>
      <w:r w:rsidRPr="00A62971">
        <w:rPr>
          <w:rFonts w:ascii="Verdana" w:hAnsi="Verdana"/>
          <w:sz w:val="20"/>
          <w:szCs w:val="20"/>
        </w:rPr>
        <w:br/>
      </w:r>
      <w:r w:rsidRPr="00A62971">
        <w:rPr>
          <w:rFonts w:ascii="Verdana" w:hAnsi="Verdana"/>
          <w:sz w:val="20"/>
          <w:szCs w:val="20"/>
        </w:rPr>
        <w:br/>
        <w:t>De GMP+ codes worden beheerd door GMP+ International BV.</w:t>
      </w:r>
    </w:p>
    <w:p w:rsidR="00A62971" w:rsidRDefault="00A62971" w:rsidP="00A62971">
      <w:pPr>
        <w:ind w:left="360"/>
        <w:rPr>
          <w:rFonts w:ascii="Verdana" w:hAnsi="Verdana"/>
          <w:sz w:val="20"/>
          <w:szCs w:val="20"/>
        </w:rPr>
      </w:pPr>
    </w:p>
    <w:p w:rsidR="00A62971" w:rsidRDefault="00A62971" w:rsidP="00A62971">
      <w:pPr>
        <w:ind w:left="360"/>
        <w:rPr>
          <w:rFonts w:ascii="Verdana" w:hAnsi="Verdana"/>
          <w:sz w:val="20"/>
          <w:szCs w:val="20"/>
        </w:rPr>
      </w:pPr>
    </w:p>
    <w:p w:rsidR="00A62971" w:rsidRDefault="00A62971" w:rsidP="00A62971">
      <w:pPr>
        <w:pStyle w:val="Lijstalinea"/>
        <w:numPr>
          <w:ilvl w:val="0"/>
          <w:numId w:val="2"/>
        </w:numPr>
        <w:rPr>
          <w:rFonts w:ascii="Arial" w:hAnsi="Arial" w:cs="Arial"/>
          <w:sz w:val="20"/>
          <w:szCs w:val="20"/>
        </w:rPr>
      </w:pPr>
      <w:r>
        <w:rPr>
          <w:rFonts w:ascii="Arial" w:hAnsi="Arial" w:cs="Arial"/>
          <w:noProof/>
          <w:color w:val="333333"/>
          <w:sz w:val="20"/>
          <w:szCs w:val="18"/>
          <w:lang w:eastAsia="nl-NL"/>
        </w:rPr>
        <w:drawing>
          <wp:anchor distT="0" distB="0" distL="114300" distR="114300" simplePos="0" relativeHeight="251658240" behindDoc="0" locked="0" layoutInCell="1" allowOverlap="1" wp14:anchorId="221AAE49" wp14:editId="749CE2FC">
            <wp:simplePos x="0" y="0"/>
            <wp:positionH relativeFrom="column">
              <wp:posOffset>4363720</wp:posOffset>
            </wp:positionH>
            <wp:positionV relativeFrom="paragraph">
              <wp:posOffset>158115</wp:posOffset>
            </wp:positionV>
            <wp:extent cx="1868170" cy="1784985"/>
            <wp:effectExtent l="0" t="0" r="0" b="5715"/>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el-wateronderzoek.jpg"/>
                    <pic:cNvPicPr/>
                  </pic:nvPicPr>
                  <pic:blipFill>
                    <a:blip r:embed="rId7">
                      <a:extLst>
                        <a:ext uri="{28A0092B-C50C-407E-A947-70E740481C1C}">
                          <a14:useLocalDpi xmlns:a14="http://schemas.microsoft.com/office/drawing/2010/main" val="0"/>
                        </a:ext>
                      </a:extLst>
                    </a:blip>
                    <a:stretch>
                      <a:fillRect/>
                    </a:stretch>
                  </pic:blipFill>
                  <pic:spPr>
                    <a:xfrm>
                      <a:off x="0" y="0"/>
                      <a:ext cx="1868170" cy="178498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sz w:val="20"/>
          <w:szCs w:val="20"/>
        </w:rPr>
        <w:t>Drinkwater</w:t>
      </w:r>
    </w:p>
    <w:p w:rsidR="00A62971" w:rsidRDefault="00A62971" w:rsidP="00A62971">
      <w:pPr>
        <w:pStyle w:val="Lijstalinea"/>
        <w:rPr>
          <w:rFonts w:ascii="Arial" w:hAnsi="Arial" w:cs="Arial"/>
          <w:sz w:val="20"/>
          <w:szCs w:val="20"/>
        </w:rPr>
      </w:pPr>
    </w:p>
    <w:p w:rsidR="00A62971" w:rsidRPr="00A62971" w:rsidRDefault="00A62971" w:rsidP="00A62971">
      <w:pPr>
        <w:pStyle w:val="Lijstalinea"/>
        <w:rPr>
          <w:rFonts w:ascii="Arial" w:hAnsi="Arial" w:cs="Arial"/>
          <w:sz w:val="24"/>
          <w:szCs w:val="20"/>
        </w:rPr>
      </w:pPr>
      <w:r w:rsidRPr="00A62971">
        <w:rPr>
          <w:rFonts w:ascii="Verdana" w:hAnsi="Verdana"/>
          <w:sz w:val="20"/>
          <w:szCs w:val="17"/>
        </w:rPr>
        <w:t>Goed water is van groot belang voor dieren.</w:t>
      </w:r>
      <w:r w:rsidRPr="00A62971">
        <w:rPr>
          <w:rFonts w:ascii="Verdana" w:hAnsi="Verdana"/>
          <w:sz w:val="20"/>
          <w:szCs w:val="17"/>
        </w:rPr>
        <w:br/>
      </w:r>
      <w:r w:rsidRPr="00A62971">
        <w:rPr>
          <w:rFonts w:ascii="Verdana" w:hAnsi="Verdana"/>
          <w:sz w:val="20"/>
          <w:szCs w:val="17"/>
        </w:rPr>
        <w:br/>
        <w:t>Drinkwater voor dieren moet:</w:t>
      </w:r>
      <w:r w:rsidRPr="00A62971">
        <w:rPr>
          <w:rFonts w:ascii="Verdana" w:hAnsi="Verdana"/>
          <w:sz w:val="20"/>
          <w:szCs w:val="17"/>
        </w:rPr>
        <w:br/>
        <w:t>1. Smakelijk zijn</w:t>
      </w:r>
      <w:r w:rsidRPr="00A62971">
        <w:rPr>
          <w:rFonts w:ascii="Verdana" w:hAnsi="Verdana"/>
          <w:sz w:val="20"/>
          <w:szCs w:val="17"/>
        </w:rPr>
        <w:br/>
        <w:t>2. Geen schadelijke stoffen bevatten</w:t>
      </w:r>
      <w:r w:rsidRPr="00A62971">
        <w:rPr>
          <w:rFonts w:ascii="Verdana" w:hAnsi="Verdana"/>
          <w:sz w:val="20"/>
          <w:szCs w:val="17"/>
        </w:rPr>
        <w:br/>
        <w:t>3. Permanent beschikbaar zijn</w:t>
      </w:r>
      <w:r w:rsidRPr="00A62971">
        <w:rPr>
          <w:rFonts w:ascii="Verdana" w:hAnsi="Verdana"/>
          <w:sz w:val="20"/>
          <w:szCs w:val="17"/>
        </w:rPr>
        <w:br/>
      </w:r>
      <w:r w:rsidRPr="00A62971">
        <w:rPr>
          <w:rFonts w:ascii="Verdana" w:hAnsi="Verdana"/>
          <w:sz w:val="20"/>
          <w:szCs w:val="17"/>
        </w:rPr>
        <w:br/>
        <w:t>In de IKB Varken voorschriften voor varkenshouders is opgenomen dat, indien het drinkwater afkomstig is van een eigen bron, er jaarlijks een drinkwateronderzoek moet worden uitgevoerd. Dit onderzoek moet zowel op chemisch als bacteriologische parameters worden uitgevoerd.</w:t>
      </w:r>
    </w:p>
    <w:p w:rsidR="00433D35" w:rsidRDefault="00433D35" w:rsidP="00433D35">
      <w:pPr>
        <w:pStyle w:val="Lijstalinea"/>
        <w:rPr>
          <w:rFonts w:ascii="Arial" w:hAnsi="Arial" w:cs="Arial"/>
          <w:color w:val="333333"/>
          <w:sz w:val="20"/>
          <w:szCs w:val="18"/>
        </w:rPr>
      </w:pPr>
    </w:p>
    <w:p w:rsidR="00A62971" w:rsidRDefault="00A62971" w:rsidP="00433D35">
      <w:pPr>
        <w:pStyle w:val="Lijstalinea"/>
        <w:rPr>
          <w:rFonts w:ascii="Arial" w:hAnsi="Arial" w:cs="Arial"/>
          <w:color w:val="333333"/>
          <w:sz w:val="20"/>
          <w:szCs w:val="18"/>
        </w:rPr>
      </w:pPr>
    </w:p>
    <w:p w:rsidR="002A1D7F" w:rsidRDefault="002A1D7F" w:rsidP="002A1D7F">
      <w:pPr>
        <w:pStyle w:val="Lijstalinea"/>
        <w:numPr>
          <w:ilvl w:val="0"/>
          <w:numId w:val="2"/>
        </w:numPr>
        <w:rPr>
          <w:rFonts w:ascii="Arial" w:hAnsi="Arial" w:cs="Arial"/>
          <w:color w:val="333333"/>
          <w:sz w:val="20"/>
          <w:szCs w:val="18"/>
        </w:rPr>
      </w:pPr>
      <w:r>
        <w:rPr>
          <w:rFonts w:ascii="Arial" w:hAnsi="Arial" w:cs="Arial"/>
          <w:color w:val="333333"/>
          <w:sz w:val="20"/>
          <w:szCs w:val="18"/>
        </w:rPr>
        <w:lastRenderedPageBreak/>
        <w:t>Dierenarts</w:t>
      </w:r>
    </w:p>
    <w:p w:rsidR="002A1D7F" w:rsidRDefault="002A1D7F" w:rsidP="002A1D7F">
      <w:pPr>
        <w:pStyle w:val="Lijstalinea"/>
        <w:rPr>
          <w:rFonts w:ascii="Arial" w:hAnsi="Arial" w:cs="Arial"/>
          <w:color w:val="333333"/>
          <w:sz w:val="20"/>
          <w:szCs w:val="18"/>
        </w:rPr>
      </w:pPr>
    </w:p>
    <w:p w:rsidR="002A1D7F" w:rsidRDefault="002A1D7F" w:rsidP="002A1D7F">
      <w:pPr>
        <w:pStyle w:val="Lijstalinea"/>
        <w:rPr>
          <w:rFonts w:ascii="Verdana" w:hAnsi="Verdana"/>
          <w:sz w:val="20"/>
          <w:szCs w:val="20"/>
        </w:rPr>
      </w:pPr>
      <w:r w:rsidRPr="002A1D7F">
        <w:rPr>
          <w:rFonts w:ascii="Verdana" w:hAnsi="Verdana"/>
          <w:sz w:val="20"/>
          <w:szCs w:val="20"/>
        </w:rPr>
        <w:t>Dierenartsen hebben een verantwoordelijkheid op het punt van adviseren en begeleiden van de varkenshouder als het gaat om de gezondheid van de dieren en dus de veiligheid van het vlees. Zo zijn de aankoop en het gebruik van diergeneesmiddelen verbonden aan strenge eisen. Binnen IKB Varken zijn dit speerpunten.</w:t>
      </w:r>
      <w:r w:rsidRPr="002A1D7F">
        <w:rPr>
          <w:rFonts w:ascii="Verdana" w:hAnsi="Verdana"/>
          <w:sz w:val="20"/>
          <w:szCs w:val="20"/>
        </w:rPr>
        <w:br/>
      </w:r>
      <w:r w:rsidRPr="002A1D7F">
        <w:rPr>
          <w:rFonts w:ascii="Verdana" w:hAnsi="Verdana"/>
          <w:sz w:val="20"/>
          <w:szCs w:val="20"/>
        </w:rPr>
        <w:br/>
        <w:t>Varkenshouders die aan IKB Varken deelnemen moeten een overeenkomst hebben met een Geborgde Varkensdierenarts. Deze Geborgde Varkensdierenartsen werken in hun eigen bedrijfsvoering en bij de IKB Varken-deelnemers volgens de Gids voor Goede Veterinaire Praktijkuitoefening (GVP) bij voedselproducerende dieren. Zij zijn gecertificeerd conform de criteria van het reglement 'Geborgde Varkensdierenarts' van de Stichting Geborgde Dierenarts. </w:t>
      </w:r>
    </w:p>
    <w:p w:rsidR="002A1D7F" w:rsidRDefault="002A1D7F" w:rsidP="002A1D7F">
      <w:pPr>
        <w:pStyle w:val="Lijstalinea"/>
        <w:rPr>
          <w:rFonts w:ascii="Verdana" w:hAnsi="Verdana"/>
          <w:sz w:val="20"/>
          <w:szCs w:val="20"/>
        </w:rPr>
      </w:pPr>
    </w:p>
    <w:p w:rsidR="002A1D7F" w:rsidRPr="002A1D7F" w:rsidRDefault="002A1D7F" w:rsidP="002A1D7F">
      <w:pPr>
        <w:pStyle w:val="Lijstalinea"/>
        <w:numPr>
          <w:ilvl w:val="0"/>
          <w:numId w:val="2"/>
        </w:numPr>
        <w:rPr>
          <w:rFonts w:ascii="Arial" w:hAnsi="Arial" w:cs="Arial"/>
          <w:sz w:val="20"/>
          <w:szCs w:val="20"/>
        </w:rPr>
      </w:pPr>
      <w:r>
        <w:rPr>
          <w:rFonts w:ascii="Verdana" w:hAnsi="Verdana"/>
          <w:sz w:val="20"/>
          <w:szCs w:val="20"/>
        </w:rPr>
        <w:t>Hygiëne code</w:t>
      </w:r>
    </w:p>
    <w:p w:rsidR="002A1D7F" w:rsidRDefault="002A1D7F" w:rsidP="002A1D7F">
      <w:pPr>
        <w:pStyle w:val="Lijstalinea"/>
        <w:rPr>
          <w:rFonts w:ascii="Verdana" w:hAnsi="Verdana"/>
          <w:sz w:val="20"/>
          <w:szCs w:val="20"/>
        </w:rPr>
      </w:pPr>
    </w:p>
    <w:p w:rsidR="002A1D7F" w:rsidRPr="002A1D7F" w:rsidRDefault="002A1D7F" w:rsidP="002A1D7F">
      <w:pPr>
        <w:shd w:val="clear" w:color="auto" w:fill="FFFFFF"/>
        <w:spacing w:after="0" w:line="225" w:lineRule="atLeast"/>
        <w:ind w:left="708"/>
        <w:jc w:val="both"/>
        <w:rPr>
          <w:rFonts w:ascii="Verdana" w:eastAsia="Times New Roman" w:hAnsi="Verdana" w:cs="Times New Roman"/>
          <w:sz w:val="20"/>
          <w:szCs w:val="17"/>
          <w:lang w:eastAsia="nl-NL"/>
        </w:rPr>
      </w:pPr>
      <w:r w:rsidRPr="002A1D7F">
        <w:rPr>
          <w:rFonts w:ascii="Verdana" w:eastAsia="Times New Roman" w:hAnsi="Verdana" w:cs="Times New Roman"/>
          <w:sz w:val="20"/>
          <w:szCs w:val="17"/>
          <w:lang w:eastAsia="nl-NL"/>
        </w:rPr>
        <w:t>Een veilig en gecontroleerd product, daar gaat het om bij IKB Varken. Zorg voor hygiëne is hierbij een belangrijk onderdeel. Alle schakels in het productieproces nemen daarom (hygiëne)maatregelen.</w:t>
      </w:r>
    </w:p>
    <w:p w:rsidR="00D110AC" w:rsidRDefault="00D110AC" w:rsidP="00D110AC">
      <w:pPr>
        <w:shd w:val="clear" w:color="auto" w:fill="FFFFFF"/>
        <w:spacing w:after="0" w:line="225" w:lineRule="atLeast"/>
        <w:jc w:val="both"/>
        <w:rPr>
          <w:rFonts w:ascii="Verdana" w:eastAsia="Times New Roman" w:hAnsi="Verdana" w:cs="Times New Roman"/>
          <w:b/>
          <w:bCs/>
          <w:sz w:val="20"/>
          <w:szCs w:val="17"/>
          <w:lang w:eastAsia="nl-NL"/>
        </w:rPr>
      </w:pPr>
    </w:p>
    <w:p w:rsidR="002A1D7F" w:rsidRPr="002A1D7F" w:rsidRDefault="002A1D7F" w:rsidP="00D110AC">
      <w:pPr>
        <w:shd w:val="clear" w:color="auto" w:fill="FFFFFF"/>
        <w:spacing w:after="0" w:line="225" w:lineRule="atLeast"/>
        <w:ind w:left="708"/>
        <w:jc w:val="both"/>
        <w:rPr>
          <w:rFonts w:ascii="Verdana" w:eastAsia="Times New Roman" w:hAnsi="Verdana" w:cs="Times New Roman"/>
          <w:sz w:val="20"/>
          <w:szCs w:val="17"/>
          <w:lang w:eastAsia="nl-NL"/>
        </w:rPr>
      </w:pPr>
      <w:r w:rsidRPr="002A1D7F">
        <w:rPr>
          <w:rFonts w:ascii="Verdana" w:eastAsia="Times New Roman" w:hAnsi="Verdana" w:cs="Times New Roman"/>
          <w:sz w:val="20"/>
          <w:szCs w:val="17"/>
          <w:lang w:eastAsia="nl-NL"/>
        </w:rPr>
        <w:t>Voor de varkensbedrijven zijn de wettelijke hygiëne-eisen opgenomen in de IKB Varken-regeling. Daarnaast zijn tal van andere maatregelen in de IKB Varken-regeling opgenomen ter bescherming van de diergezondheid en voedselveiligheid. Hierbij moet gedacht worden aan de GMP- en GVP-code.</w:t>
      </w:r>
      <w:r w:rsidRPr="002A1D7F">
        <w:rPr>
          <w:rFonts w:ascii="Verdana" w:eastAsia="Times New Roman" w:hAnsi="Verdana" w:cs="Times New Roman"/>
          <w:sz w:val="20"/>
          <w:szCs w:val="17"/>
          <w:lang w:eastAsia="nl-NL"/>
        </w:rPr>
        <w:br/>
      </w:r>
      <w:r w:rsidRPr="002A1D7F">
        <w:rPr>
          <w:rFonts w:ascii="Verdana" w:eastAsia="Times New Roman" w:hAnsi="Verdana" w:cs="Times New Roman"/>
          <w:sz w:val="20"/>
          <w:szCs w:val="17"/>
          <w:lang w:eastAsia="nl-NL"/>
        </w:rPr>
        <w:br/>
        <w:t>IKB Varken is door de Minister van EZ erkend als hygiënecode. Dit betekent dat veehouders die deelnemen aan IKB Varken daarmee ook voldoen aan de wettelijke bepaling betreffende hygiëne. </w:t>
      </w:r>
      <w:r w:rsidRPr="002A1D7F">
        <w:rPr>
          <w:rFonts w:ascii="Verdana" w:eastAsia="Times New Roman" w:hAnsi="Verdana" w:cs="Times New Roman"/>
          <w:sz w:val="20"/>
          <w:szCs w:val="17"/>
          <w:lang w:eastAsia="nl-NL"/>
        </w:rPr>
        <w:br/>
      </w:r>
      <w:r w:rsidRPr="002A1D7F">
        <w:rPr>
          <w:rFonts w:ascii="Verdana" w:eastAsia="Times New Roman" w:hAnsi="Verdana" w:cs="Times New Roman"/>
          <w:sz w:val="20"/>
          <w:szCs w:val="17"/>
          <w:lang w:eastAsia="nl-NL"/>
        </w:rPr>
        <w:br/>
      </w:r>
    </w:p>
    <w:p w:rsidR="002A1D7F" w:rsidRDefault="002A1D7F" w:rsidP="00D110AC">
      <w:pPr>
        <w:rPr>
          <w:rFonts w:ascii="Arial" w:hAnsi="Arial" w:cs="Arial"/>
          <w:sz w:val="24"/>
          <w:szCs w:val="20"/>
        </w:rPr>
      </w:pPr>
    </w:p>
    <w:p w:rsidR="00486BD2" w:rsidRDefault="00486BD2" w:rsidP="00D110AC">
      <w:pPr>
        <w:rPr>
          <w:rFonts w:ascii="Arial" w:hAnsi="Arial" w:cs="Arial"/>
          <w:sz w:val="24"/>
          <w:szCs w:val="20"/>
        </w:rPr>
      </w:pPr>
    </w:p>
    <w:p w:rsidR="00486BD2" w:rsidRDefault="00486BD2" w:rsidP="00D110AC">
      <w:pPr>
        <w:rPr>
          <w:rFonts w:ascii="Arial" w:hAnsi="Arial" w:cs="Arial"/>
          <w:sz w:val="24"/>
          <w:szCs w:val="20"/>
        </w:rPr>
      </w:pPr>
    </w:p>
    <w:p w:rsidR="00486BD2" w:rsidRDefault="00486BD2" w:rsidP="00D110AC">
      <w:pPr>
        <w:rPr>
          <w:rFonts w:ascii="Arial" w:hAnsi="Arial" w:cs="Arial"/>
          <w:sz w:val="24"/>
          <w:szCs w:val="20"/>
        </w:rPr>
      </w:pPr>
    </w:p>
    <w:p w:rsidR="00486BD2" w:rsidRDefault="00486BD2" w:rsidP="00D110AC">
      <w:pPr>
        <w:rPr>
          <w:rFonts w:ascii="Arial" w:hAnsi="Arial" w:cs="Arial"/>
          <w:sz w:val="24"/>
          <w:szCs w:val="20"/>
        </w:rPr>
      </w:pPr>
    </w:p>
    <w:p w:rsidR="00486BD2" w:rsidRDefault="00486BD2" w:rsidP="00D110AC">
      <w:pPr>
        <w:rPr>
          <w:rFonts w:ascii="Arial" w:hAnsi="Arial" w:cs="Arial"/>
          <w:sz w:val="24"/>
          <w:szCs w:val="20"/>
        </w:rPr>
      </w:pPr>
    </w:p>
    <w:p w:rsidR="00486BD2" w:rsidRDefault="00486BD2" w:rsidP="00D110AC">
      <w:pPr>
        <w:rPr>
          <w:rFonts w:ascii="Arial" w:hAnsi="Arial" w:cs="Arial"/>
          <w:sz w:val="24"/>
          <w:szCs w:val="20"/>
        </w:rPr>
      </w:pPr>
    </w:p>
    <w:p w:rsidR="00486BD2" w:rsidRDefault="00486BD2" w:rsidP="00D110AC">
      <w:pPr>
        <w:rPr>
          <w:rFonts w:ascii="Arial" w:hAnsi="Arial" w:cs="Arial"/>
          <w:sz w:val="24"/>
          <w:szCs w:val="20"/>
        </w:rPr>
      </w:pPr>
    </w:p>
    <w:p w:rsidR="00486BD2" w:rsidRPr="00486BD2" w:rsidRDefault="00486BD2" w:rsidP="00D110AC">
      <w:pPr>
        <w:rPr>
          <w:rFonts w:ascii="Arial" w:hAnsi="Arial" w:cs="Arial"/>
          <w:sz w:val="20"/>
          <w:szCs w:val="20"/>
        </w:rPr>
      </w:pPr>
    </w:p>
    <w:p w:rsidR="00486BD2" w:rsidRPr="00486BD2" w:rsidRDefault="00486BD2" w:rsidP="00D110AC">
      <w:pPr>
        <w:rPr>
          <w:rFonts w:ascii="Arial" w:hAnsi="Arial" w:cs="Arial"/>
          <w:sz w:val="20"/>
          <w:szCs w:val="20"/>
        </w:rPr>
      </w:pPr>
    </w:p>
    <w:p w:rsidR="00D110AC" w:rsidRPr="00486BD2" w:rsidRDefault="00D110AC" w:rsidP="00D110AC">
      <w:pPr>
        <w:pStyle w:val="Lijstalinea"/>
        <w:numPr>
          <w:ilvl w:val="0"/>
          <w:numId w:val="2"/>
        </w:numPr>
        <w:rPr>
          <w:rFonts w:ascii="Arial" w:hAnsi="Arial" w:cs="Arial"/>
          <w:sz w:val="20"/>
          <w:szCs w:val="20"/>
        </w:rPr>
      </w:pPr>
      <w:r w:rsidRPr="00486BD2">
        <w:rPr>
          <w:rFonts w:ascii="Arial" w:hAnsi="Arial" w:cs="Arial"/>
          <w:sz w:val="20"/>
          <w:szCs w:val="20"/>
        </w:rPr>
        <w:t>Salmonella</w:t>
      </w:r>
    </w:p>
    <w:p w:rsidR="00D110AC" w:rsidRPr="00486BD2" w:rsidRDefault="00D110AC" w:rsidP="00D110AC">
      <w:pPr>
        <w:pStyle w:val="Lijstalinea"/>
        <w:rPr>
          <w:rFonts w:ascii="Arial" w:hAnsi="Arial" w:cs="Arial"/>
          <w:sz w:val="20"/>
          <w:szCs w:val="20"/>
        </w:rPr>
      </w:pPr>
    </w:p>
    <w:p w:rsidR="00D110AC" w:rsidRPr="00486BD2" w:rsidRDefault="00D110AC" w:rsidP="00D110AC">
      <w:pPr>
        <w:pStyle w:val="Lijstalinea"/>
        <w:rPr>
          <w:rFonts w:ascii="Verdana" w:hAnsi="Verdana"/>
          <w:sz w:val="20"/>
          <w:szCs w:val="20"/>
        </w:rPr>
      </w:pPr>
      <w:r w:rsidRPr="00486BD2">
        <w:rPr>
          <w:rFonts w:ascii="Verdana" w:hAnsi="Verdana"/>
          <w:sz w:val="20"/>
          <w:szCs w:val="20"/>
        </w:rPr>
        <w:t>Binnen IKB Varken zijn varkenshouders</w:t>
      </w:r>
      <w:r w:rsidR="00486BD2" w:rsidRPr="00486BD2">
        <w:rPr>
          <w:rFonts w:ascii="Verdana" w:hAnsi="Verdana"/>
          <w:sz w:val="20"/>
          <w:szCs w:val="20"/>
        </w:rPr>
        <w:t xml:space="preserve"> </w:t>
      </w:r>
      <w:r w:rsidRPr="00486BD2">
        <w:rPr>
          <w:rFonts w:ascii="Verdana" w:hAnsi="Verdana"/>
          <w:sz w:val="20"/>
          <w:szCs w:val="20"/>
        </w:rPr>
        <w:t>verplicht tot het  laten uitvoeren van bloedonderzoek op Salmonella.</w:t>
      </w:r>
    </w:p>
    <w:p w:rsidR="00486BD2" w:rsidRPr="00486BD2" w:rsidRDefault="00486BD2" w:rsidP="00486BD2">
      <w:pPr>
        <w:shd w:val="clear" w:color="auto" w:fill="FFFFFF"/>
        <w:spacing w:after="150" w:line="225" w:lineRule="atLeast"/>
        <w:ind w:left="708" w:firstLine="12"/>
        <w:rPr>
          <w:rFonts w:ascii="Verdana" w:eastAsia="Times New Roman" w:hAnsi="Verdana" w:cs="Times New Roman"/>
          <w:sz w:val="20"/>
          <w:szCs w:val="20"/>
          <w:lang w:eastAsia="nl-NL"/>
        </w:rPr>
      </w:pPr>
      <w:r w:rsidRPr="00486BD2">
        <w:rPr>
          <w:rFonts w:ascii="Verdana" w:eastAsia="Times New Roman" w:hAnsi="Verdana" w:cs="Times New Roman"/>
          <w:sz w:val="20"/>
          <w:szCs w:val="20"/>
          <w:lang w:eastAsia="nl-NL"/>
        </w:rPr>
        <w:t>Op de laboratorium uitslagen is het niveau  antistoffen tegen salmonella als maat voor de besmetting uitgedrukt in een OD waarde (%). Hoe hoger de OD-waarde, hoe meer antistoffen tegen Salmonella in het bloedserum zitten.  Deze OD-waarden worden vervolgens ook gebruikt om uw bedrijf in één van drie categorieën  in te delen.</w:t>
      </w:r>
      <w:r w:rsidRPr="00486BD2">
        <w:rPr>
          <w:rFonts w:ascii="Verdana" w:eastAsia="Times New Roman" w:hAnsi="Verdana" w:cs="Times New Roman"/>
          <w:sz w:val="20"/>
          <w:szCs w:val="20"/>
          <w:lang w:eastAsia="nl-NL"/>
        </w:rPr>
        <w:br/>
        <w:t> </w:t>
      </w:r>
      <w:r w:rsidRPr="00486BD2">
        <w:rPr>
          <w:rFonts w:ascii="Verdana" w:eastAsia="Times New Roman" w:hAnsi="Verdana" w:cs="Times New Roman"/>
          <w:sz w:val="20"/>
          <w:szCs w:val="20"/>
          <w:lang w:eastAsia="nl-NL"/>
        </w:rPr>
        <w:br/>
        <w:t>Per periode van 4 maanden (trimester) krijgt uw bedrijf eerst een score.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53"/>
        <w:gridCol w:w="1769"/>
      </w:tblGrid>
      <w:tr w:rsidR="00486BD2" w:rsidRPr="00486BD2" w:rsidTr="00486BD2">
        <w:trPr>
          <w:trHeight w:val="225"/>
        </w:trPr>
        <w:tc>
          <w:tcPr>
            <w:tcW w:w="7335" w:type="dxa"/>
            <w:tcBorders>
              <w:top w:val="outset" w:sz="6" w:space="0" w:color="auto"/>
              <w:left w:val="outset" w:sz="6" w:space="0" w:color="auto"/>
              <w:bottom w:val="outset" w:sz="6" w:space="0" w:color="auto"/>
              <w:right w:val="outset" w:sz="6" w:space="0" w:color="auto"/>
            </w:tcBorders>
            <w:tcMar>
              <w:top w:w="45" w:type="dxa"/>
              <w:left w:w="0" w:type="dxa"/>
              <w:bottom w:w="45" w:type="dxa"/>
              <w:right w:w="0" w:type="dxa"/>
            </w:tcMar>
            <w:vAlign w:val="center"/>
            <w:hideMark/>
          </w:tcPr>
          <w:p w:rsidR="00486BD2" w:rsidRPr="00486BD2" w:rsidRDefault="00486BD2" w:rsidP="00486BD2">
            <w:pPr>
              <w:spacing w:before="300" w:after="0" w:line="240" w:lineRule="auto"/>
              <w:rPr>
                <w:rFonts w:ascii="Verdana" w:eastAsia="Times New Roman" w:hAnsi="Verdana" w:cs="Times New Roman"/>
                <w:sz w:val="20"/>
                <w:szCs w:val="20"/>
                <w:lang w:eastAsia="nl-NL"/>
              </w:rPr>
            </w:pPr>
            <w:r w:rsidRPr="00486BD2">
              <w:rPr>
                <w:rFonts w:ascii="Verdana" w:eastAsia="Times New Roman" w:hAnsi="Verdana" w:cs="Times New Roman"/>
                <w:sz w:val="20"/>
                <w:szCs w:val="20"/>
                <w:lang w:eastAsia="nl-NL"/>
              </w:rPr>
              <w:t>Deze score varieert van 1 (gunstig) tot 3 (ongunstig) en wordt als volgt bepaald: 20% of minder van de bloeduitslagen een OD% groter dan OD40</w:t>
            </w:r>
          </w:p>
        </w:tc>
        <w:tc>
          <w:tcPr>
            <w:tcW w:w="1695" w:type="dxa"/>
            <w:tcBorders>
              <w:top w:val="outset" w:sz="6" w:space="0" w:color="auto"/>
              <w:left w:val="outset" w:sz="6" w:space="0" w:color="auto"/>
              <w:bottom w:val="outset" w:sz="6" w:space="0" w:color="auto"/>
              <w:right w:val="outset" w:sz="6" w:space="0" w:color="auto"/>
            </w:tcBorders>
            <w:tcMar>
              <w:top w:w="45" w:type="dxa"/>
              <w:left w:w="0" w:type="dxa"/>
              <w:bottom w:w="45" w:type="dxa"/>
              <w:right w:w="0" w:type="dxa"/>
            </w:tcMar>
            <w:vAlign w:val="center"/>
            <w:hideMark/>
          </w:tcPr>
          <w:p w:rsidR="00486BD2" w:rsidRPr="00486BD2" w:rsidRDefault="00486BD2" w:rsidP="00486BD2">
            <w:pPr>
              <w:spacing w:before="300" w:after="0" w:line="240" w:lineRule="auto"/>
              <w:rPr>
                <w:rFonts w:ascii="Verdana" w:eastAsia="Times New Roman" w:hAnsi="Verdana" w:cs="Times New Roman"/>
                <w:sz w:val="20"/>
                <w:szCs w:val="20"/>
                <w:lang w:eastAsia="nl-NL"/>
              </w:rPr>
            </w:pPr>
            <w:r w:rsidRPr="00486BD2">
              <w:rPr>
                <w:rFonts w:ascii="Verdana" w:eastAsia="Times New Roman" w:hAnsi="Verdana" w:cs="Times New Roman"/>
                <w:sz w:val="20"/>
                <w:szCs w:val="20"/>
                <w:lang w:eastAsia="nl-NL"/>
              </w:rPr>
              <w:t>Score 1</w:t>
            </w:r>
          </w:p>
        </w:tc>
      </w:tr>
      <w:tr w:rsidR="00486BD2" w:rsidRPr="00486BD2" w:rsidTr="00486BD2">
        <w:trPr>
          <w:trHeight w:val="225"/>
        </w:trPr>
        <w:tc>
          <w:tcPr>
            <w:tcW w:w="7335" w:type="dxa"/>
            <w:tcBorders>
              <w:top w:val="outset" w:sz="6" w:space="0" w:color="auto"/>
              <w:left w:val="outset" w:sz="6" w:space="0" w:color="auto"/>
              <w:bottom w:val="outset" w:sz="6" w:space="0" w:color="auto"/>
              <w:right w:val="outset" w:sz="6" w:space="0" w:color="auto"/>
            </w:tcBorders>
            <w:tcMar>
              <w:top w:w="45" w:type="dxa"/>
              <w:left w:w="0" w:type="dxa"/>
              <w:bottom w:w="45" w:type="dxa"/>
              <w:right w:w="0" w:type="dxa"/>
            </w:tcMar>
            <w:vAlign w:val="center"/>
            <w:hideMark/>
          </w:tcPr>
          <w:p w:rsidR="00486BD2" w:rsidRPr="00486BD2" w:rsidRDefault="00486BD2" w:rsidP="00486BD2">
            <w:pPr>
              <w:spacing w:before="300" w:after="0" w:line="240" w:lineRule="auto"/>
              <w:rPr>
                <w:rFonts w:ascii="Verdana" w:eastAsia="Times New Roman" w:hAnsi="Verdana" w:cs="Times New Roman"/>
                <w:sz w:val="20"/>
                <w:szCs w:val="20"/>
                <w:lang w:eastAsia="nl-NL"/>
              </w:rPr>
            </w:pPr>
            <w:r w:rsidRPr="00486BD2">
              <w:rPr>
                <w:rFonts w:ascii="Verdana" w:eastAsia="Times New Roman" w:hAnsi="Verdana" w:cs="Times New Roman"/>
                <w:sz w:val="20"/>
                <w:szCs w:val="20"/>
                <w:lang w:eastAsia="nl-NL"/>
              </w:rPr>
              <w:t>Meer dan 20% en minder dan 40% van de bloeduitslagen een OD% groter dan OD40</w:t>
            </w:r>
          </w:p>
        </w:tc>
        <w:tc>
          <w:tcPr>
            <w:tcW w:w="1695" w:type="dxa"/>
            <w:tcBorders>
              <w:top w:val="outset" w:sz="6" w:space="0" w:color="auto"/>
              <w:left w:val="outset" w:sz="6" w:space="0" w:color="auto"/>
              <w:bottom w:val="outset" w:sz="6" w:space="0" w:color="auto"/>
              <w:right w:val="outset" w:sz="6" w:space="0" w:color="auto"/>
            </w:tcBorders>
            <w:tcMar>
              <w:top w:w="45" w:type="dxa"/>
              <w:left w:w="0" w:type="dxa"/>
              <w:bottom w:w="45" w:type="dxa"/>
              <w:right w:w="0" w:type="dxa"/>
            </w:tcMar>
            <w:vAlign w:val="center"/>
            <w:hideMark/>
          </w:tcPr>
          <w:p w:rsidR="00486BD2" w:rsidRPr="00486BD2" w:rsidRDefault="00486BD2" w:rsidP="00486BD2">
            <w:pPr>
              <w:spacing w:before="300" w:after="0" w:line="240" w:lineRule="auto"/>
              <w:rPr>
                <w:rFonts w:ascii="Verdana" w:eastAsia="Times New Roman" w:hAnsi="Verdana" w:cs="Times New Roman"/>
                <w:sz w:val="20"/>
                <w:szCs w:val="20"/>
                <w:lang w:eastAsia="nl-NL"/>
              </w:rPr>
            </w:pPr>
            <w:r w:rsidRPr="00486BD2">
              <w:rPr>
                <w:rFonts w:ascii="Verdana" w:eastAsia="Times New Roman" w:hAnsi="Verdana" w:cs="Times New Roman"/>
                <w:sz w:val="20"/>
                <w:szCs w:val="20"/>
                <w:lang w:eastAsia="nl-NL"/>
              </w:rPr>
              <w:t>Score 2</w:t>
            </w:r>
          </w:p>
        </w:tc>
      </w:tr>
      <w:tr w:rsidR="00486BD2" w:rsidRPr="00486BD2" w:rsidTr="00486BD2">
        <w:trPr>
          <w:trHeight w:val="225"/>
        </w:trPr>
        <w:tc>
          <w:tcPr>
            <w:tcW w:w="7335" w:type="dxa"/>
            <w:tcBorders>
              <w:top w:val="outset" w:sz="6" w:space="0" w:color="auto"/>
              <w:left w:val="outset" w:sz="6" w:space="0" w:color="auto"/>
              <w:bottom w:val="outset" w:sz="6" w:space="0" w:color="auto"/>
              <w:right w:val="outset" w:sz="6" w:space="0" w:color="auto"/>
            </w:tcBorders>
            <w:tcMar>
              <w:top w:w="45" w:type="dxa"/>
              <w:left w:w="0" w:type="dxa"/>
              <w:bottom w:w="45" w:type="dxa"/>
              <w:right w:w="0" w:type="dxa"/>
            </w:tcMar>
            <w:vAlign w:val="center"/>
            <w:hideMark/>
          </w:tcPr>
          <w:p w:rsidR="00486BD2" w:rsidRPr="00486BD2" w:rsidRDefault="00486BD2" w:rsidP="00486BD2">
            <w:pPr>
              <w:spacing w:before="300" w:after="0" w:line="240" w:lineRule="auto"/>
              <w:rPr>
                <w:rFonts w:ascii="Verdana" w:eastAsia="Times New Roman" w:hAnsi="Verdana" w:cs="Times New Roman"/>
                <w:sz w:val="20"/>
                <w:szCs w:val="20"/>
                <w:lang w:eastAsia="nl-NL"/>
              </w:rPr>
            </w:pPr>
            <w:r w:rsidRPr="00486BD2">
              <w:rPr>
                <w:rFonts w:ascii="Verdana" w:eastAsia="Times New Roman" w:hAnsi="Verdana" w:cs="Times New Roman"/>
                <w:sz w:val="20"/>
                <w:szCs w:val="20"/>
                <w:lang w:eastAsia="nl-NL"/>
              </w:rPr>
              <w:t>40% of meer van de bloeduitslagen een OD% groter dan OD40</w:t>
            </w:r>
          </w:p>
        </w:tc>
        <w:tc>
          <w:tcPr>
            <w:tcW w:w="1695" w:type="dxa"/>
            <w:tcBorders>
              <w:top w:val="outset" w:sz="6" w:space="0" w:color="auto"/>
              <w:left w:val="outset" w:sz="6" w:space="0" w:color="auto"/>
              <w:bottom w:val="outset" w:sz="6" w:space="0" w:color="auto"/>
              <w:right w:val="outset" w:sz="6" w:space="0" w:color="auto"/>
            </w:tcBorders>
            <w:tcMar>
              <w:top w:w="45" w:type="dxa"/>
              <w:left w:w="0" w:type="dxa"/>
              <w:bottom w:w="45" w:type="dxa"/>
              <w:right w:w="0" w:type="dxa"/>
            </w:tcMar>
            <w:vAlign w:val="center"/>
            <w:hideMark/>
          </w:tcPr>
          <w:p w:rsidR="00486BD2" w:rsidRPr="00486BD2" w:rsidRDefault="00486BD2" w:rsidP="00486BD2">
            <w:pPr>
              <w:spacing w:before="300" w:after="0" w:line="240" w:lineRule="auto"/>
              <w:rPr>
                <w:rFonts w:ascii="Verdana" w:eastAsia="Times New Roman" w:hAnsi="Verdana" w:cs="Times New Roman"/>
                <w:sz w:val="20"/>
                <w:szCs w:val="20"/>
                <w:lang w:eastAsia="nl-NL"/>
              </w:rPr>
            </w:pPr>
            <w:r w:rsidRPr="00486BD2">
              <w:rPr>
                <w:rFonts w:ascii="Verdana" w:eastAsia="Times New Roman" w:hAnsi="Verdana" w:cs="Times New Roman"/>
                <w:sz w:val="20"/>
                <w:szCs w:val="20"/>
                <w:lang w:eastAsia="nl-NL"/>
              </w:rPr>
              <w:t>Score 3</w:t>
            </w:r>
          </w:p>
        </w:tc>
      </w:tr>
    </w:tbl>
    <w:p w:rsidR="00486BD2" w:rsidRPr="00486BD2" w:rsidRDefault="00486BD2" w:rsidP="00D110AC">
      <w:pPr>
        <w:pStyle w:val="Lijstalinea"/>
        <w:rPr>
          <w:rFonts w:ascii="Arial" w:hAnsi="Arial" w:cs="Arial"/>
          <w:sz w:val="20"/>
          <w:szCs w:val="20"/>
        </w:rPr>
      </w:pPr>
      <w:r w:rsidRPr="00486BD2">
        <w:rPr>
          <w:rFonts w:ascii="Verdana" w:eastAsia="Times New Roman" w:hAnsi="Verdana" w:cs="Times New Roman"/>
          <w:sz w:val="20"/>
          <w:szCs w:val="20"/>
          <w:lang w:eastAsia="nl-NL"/>
        </w:rPr>
        <w:t> </w:t>
      </w:r>
      <w:r w:rsidRPr="00486BD2">
        <w:rPr>
          <w:rFonts w:ascii="Verdana" w:eastAsia="Times New Roman" w:hAnsi="Verdana" w:cs="Times New Roman"/>
          <w:sz w:val="20"/>
          <w:szCs w:val="20"/>
          <w:lang w:eastAsia="nl-NL"/>
        </w:rPr>
        <w:br/>
        <w:t>Vervolgens worden de scores van de laatste drie trimesters bij elkaar opgeteld om de categorie-indeling van het bedrijf te bepalen</w:t>
      </w:r>
    </w:p>
    <w:p w:rsidR="00486BD2" w:rsidRDefault="00486BD2" w:rsidP="00486BD2">
      <w:pPr>
        <w:rPr>
          <w:rFonts w:ascii="Arial" w:hAnsi="Arial" w:cs="Arial"/>
          <w:sz w:val="24"/>
          <w:szCs w:val="20"/>
        </w:rPr>
      </w:pPr>
    </w:p>
    <w:p w:rsidR="00486BD2" w:rsidRDefault="00486BD2" w:rsidP="00486BD2">
      <w:pPr>
        <w:rPr>
          <w:rFonts w:ascii="Arial" w:hAnsi="Arial" w:cs="Arial"/>
          <w:sz w:val="24"/>
          <w:szCs w:val="20"/>
        </w:rPr>
      </w:pPr>
      <w:r>
        <w:rPr>
          <w:rFonts w:ascii="Arial" w:hAnsi="Arial" w:cs="Arial"/>
          <w:sz w:val="24"/>
          <w:szCs w:val="20"/>
        </w:rPr>
        <w:t>Onze mening:</w:t>
      </w:r>
      <w:bookmarkStart w:id="0" w:name="_GoBack"/>
      <w:bookmarkEnd w:id="0"/>
    </w:p>
    <w:p w:rsidR="00486BD2" w:rsidRPr="00486BD2" w:rsidRDefault="00486BD2" w:rsidP="00486BD2">
      <w:pPr>
        <w:rPr>
          <w:rFonts w:ascii="Arial" w:hAnsi="Arial" w:cs="Arial"/>
          <w:sz w:val="20"/>
          <w:szCs w:val="20"/>
        </w:rPr>
      </w:pPr>
      <w:r>
        <w:rPr>
          <w:rFonts w:ascii="Arial" w:hAnsi="Arial" w:cs="Arial"/>
          <w:sz w:val="20"/>
          <w:szCs w:val="20"/>
        </w:rPr>
        <w:t xml:space="preserve">Wij vinden van IKB dat je beter inzicht hebt in je bedrijf doordat je aan zoveel eisen moet voldoen. Als er bijvoorbeeld een ziekte heerst op het bedrijf, dan zit je er meteen boven op om het op te lossen. </w:t>
      </w:r>
    </w:p>
    <w:sectPr w:rsidR="00486BD2" w:rsidRPr="00486BD2" w:rsidSect="0092588E">
      <w:pgSz w:w="12240" w:h="15840" w:code="1"/>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B7751"/>
    <w:multiLevelType w:val="multilevel"/>
    <w:tmpl w:val="DE701F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333333"/>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147E07"/>
    <w:multiLevelType w:val="hybridMultilevel"/>
    <w:tmpl w:val="660A2D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72E8797A"/>
    <w:multiLevelType w:val="hybridMultilevel"/>
    <w:tmpl w:val="7526D2C4"/>
    <w:lvl w:ilvl="0" w:tplc="61D6C126">
      <w:start w:val="1"/>
      <w:numFmt w:val="decimal"/>
      <w:lvlText w:val="%1."/>
      <w:lvlJc w:val="left"/>
      <w:pPr>
        <w:ind w:left="720" w:hanging="360"/>
      </w:pPr>
      <w:rPr>
        <w:rFonts w:hint="default"/>
        <w:color w:val="333333"/>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88E"/>
    <w:rsid w:val="000169FD"/>
    <w:rsid w:val="002A1D7F"/>
    <w:rsid w:val="002C1E30"/>
    <w:rsid w:val="00433D35"/>
    <w:rsid w:val="00437D9D"/>
    <w:rsid w:val="00486BD2"/>
    <w:rsid w:val="008D6EE0"/>
    <w:rsid w:val="0092588E"/>
    <w:rsid w:val="00A44287"/>
    <w:rsid w:val="00A62971"/>
    <w:rsid w:val="00D110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33D3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33D35"/>
    <w:rPr>
      <w:rFonts w:ascii="Tahoma" w:hAnsi="Tahoma" w:cs="Tahoma"/>
      <w:sz w:val="16"/>
      <w:szCs w:val="16"/>
    </w:rPr>
  </w:style>
  <w:style w:type="paragraph" w:styleId="Lijstalinea">
    <w:name w:val="List Paragraph"/>
    <w:basedOn w:val="Standaard"/>
    <w:uiPriority w:val="34"/>
    <w:qFormat/>
    <w:rsid w:val="00433D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33D3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33D35"/>
    <w:rPr>
      <w:rFonts w:ascii="Tahoma" w:hAnsi="Tahoma" w:cs="Tahoma"/>
      <w:sz w:val="16"/>
      <w:szCs w:val="16"/>
    </w:rPr>
  </w:style>
  <w:style w:type="paragraph" w:styleId="Lijstalinea">
    <w:name w:val="List Paragraph"/>
    <w:basedOn w:val="Standaard"/>
    <w:uiPriority w:val="34"/>
    <w:qFormat/>
    <w:rsid w:val="00433D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805235">
      <w:bodyDiv w:val="1"/>
      <w:marLeft w:val="0"/>
      <w:marRight w:val="0"/>
      <w:marTop w:val="0"/>
      <w:marBottom w:val="0"/>
      <w:divBdr>
        <w:top w:val="none" w:sz="0" w:space="0" w:color="auto"/>
        <w:left w:val="none" w:sz="0" w:space="0" w:color="auto"/>
        <w:bottom w:val="none" w:sz="0" w:space="0" w:color="auto"/>
        <w:right w:val="none" w:sz="0" w:space="0" w:color="auto"/>
      </w:divBdr>
      <w:divsChild>
        <w:div w:id="1829706274">
          <w:marLeft w:val="0"/>
          <w:marRight w:val="0"/>
          <w:marTop w:val="0"/>
          <w:marBottom w:val="0"/>
          <w:divBdr>
            <w:top w:val="none" w:sz="0" w:space="0" w:color="auto"/>
            <w:left w:val="none" w:sz="0" w:space="0" w:color="auto"/>
            <w:bottom w:val="none" w:sz="0" w:space="0" w:color="auto"/>
            <w:right w:val="none" w:sz="0" w:space="0" w:color="auto"/>
          </w:divBdr>
          <w:divsChild>
            <w:div w:id="710803772">
              <w:marLeft w:val="0"/>
              <w:marRight w:val="0"/>
              <w:marTop w:val="0"/>
              <w:marBottom w:val="0"/>
              <w:divBdr>
                <w:top w:val="none" w:sz="0" w:space="0" w:color="auto"/>
                <w:left w:val="none" w:sz="0" w:space="0" w:color="auto"/>
                <w:bottom w:val="none" w:sz="0" w:space="0" w:color="auto"/>
                <w:right w:val="none" w:sz="0" w:space="0" w:color="auto"/>
              </w:divBdr>
              <w:divsChild>
                <w:div w:id="465658731">
                  <w:marLeft w:val="0"/>
                  <w:marRight w:val="0"/>
                  <w:marTop w:val="0"/>
                  <w:marBottom w:val="180"/>
                  <w:divBdr>
                    <w:top w:val="single" w:sz="6" w:space="8" w:color="D2D2C6"/>
                    <w:left w:val="single" w:sz="6" w:space="8" w:color="D2D2C6"/>
                    <w:bottom w:val="single" w:sz="6" w:space="8" w:color="D2D2C6"/>
                    <w:right w:val="single" w:sz="6" w:space="8" w:color="D2D2C6"/>
                  </w:divBdr>
                  <w:divsChild>
                    <w:div w:id="1327322015">
                      <w:marLeft w:val="0"/>
                      <w:marRight w:val="0"/>
                      <w:marTop w:val="0"/>
                      <w:marBottom w:val="0"/>
                      <w:divBdr>
                        <w:top w:val="none" w:sz="0" w:space="0" w:color="auto"/>
                        <w:left w:val="none" w:sz="0" w:space="0" w:color="auto"/>
                        <w:bottom w:val="none" w:sz="0" w:space="0" w:color="auto"/>
                        <w:right w:val="none" w:sz="0" w:space="0" w:color="auto"/>
                      </w:divBdr>
                      <w:divsChild>
                        <w:div w:id="1151826427">
                          <w:marLeft w:val="0"/>
                          <w:marRight w:val="0"/>
                          <w:marTop w:val="0"/>
                          <w:marBottom w:val="0"/>
                          <w:divBdr>
                            <w:top w:val="none" w:sz="0" w:space="0" w:color="auto"/>
                            <w:left w:val="none" w:sz="0" w:space="0" w:color="auto"/>
                            <w:bottom w:val="none" w:sz="0" w:space="0" w:color="auto"/>
                            <w:right w:val="none" w:sz="0" w:space="0" w:color="auto"/>
                          </w:divBdr>
                          <w:divsChild>
                            <w:div w:id="865144070">
                              <w:marLeft w:val="0"/>
                              <w:marRight w:val="0"/>
                              <w:marTop w:val="0"/>
                              <w:marBottom w:val="0"/>
                              <w:divBdr>
                                <w:top w:val="none" w:sz="0" w:space="0" w:color="auto"/>
                                <w:left w:val="none" w:sz="0" w:space="0" w:color="auto"/>
                                <w:bottom w:val="none" w:sz="0" w:space="0" w:color="auto"/>
                                <w:right w:val="none" w:sz="0" w:space="0" w:color="auto"/>
                              </w:divBdr>
                              <w:divsChild>
                                <w:div w:id="1614552110">
                                  <w:marLeft w:val="0"/>
                                  <w:marRight w:val="0"/>
                                  <w:marTop w:val="0"/>
                                  <w:marBottom w:val="0"/>
                                  <w:divBdr>
                                    <w:top w:val="none" w:sz="0" w:space="0" w:color="auto"/>
                                    <w:left w:val="none" w:sz="0" w:space="0" w:color="auto"/>
                                    <w:bottom w:val="none" w:sz="0" w:space="0" w:color="auto"/>
                                    <w:right w:val="none" w:sz="0" w:space="0" w:color="auto"/>
                                  </w:divBdr>
                                  <w:divsChild>
                                    <w:div w:id="1911580134">
                                      <w:marLeft w:val="0"/>
                                      <w:marRight w:val="0"/>
                                      <w:marTop w:val="0"/>
                                      <w:marBottom w:val="0"/>
                                      <w:divBdr>
                                        <w:top w:val="none" w:sz="0" w:space="0" w:color="auto"/>
                                        <w:left w:val="none" w:sz="0" w:space="0" w:color="auto"/>
                                        <w:bottom w:val="none" w:sz="0" w:space="0" w:color="auto"/>
                                        <w:right w:val="none" w:sz="0" w:space="0" w:color="auto"/>
                                      </w:divBdr>
                                      <w:divsChild>
                                        <w:div w:id="6785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6726657">
      <w:bodyDiv w:val="1"/>
      <w:marLeft w:val="0"/>
      <w:marRight w:val="0"/>
      <w:marTop w:val="0"/>
      <w:marBottom w:val="0"/>
      <w:divBdr>
        <w:top w:val="none" w:sz="0" w:space="0" w:color="auto"/>
        <w:left w:val="none" w:sz="0" w:space="0" w:color="auto"/>
        <w:bottom w:val="none" w:sz="0" w:space="0" w:color="auto"/>
        <w:right w:val="none" w:sz="0" w:space="0" w:color="auto"/>
      </w:divBdr>
      <w:divsChild>
        <w:div w:id="2082676208">
          <w:marLeft w:val="0"/>
          <w:marRight w:val="0"/>
          <w:marTop w:val="0"/>
          <w:marBottom w:val="0"/>
          <w:divBdr>
            <w:top w:val="none" w:sz="0" w:space="0" w:color="auto"/>
            <w:left w:val="none" w:sz="0" w:space="0" w:color="auto"/>
            <w:bottom w:val="none" w:sz="0" w:space="0" w:color="auto"/>
            <w:right w:val="none" w:sz="0" w:space="0" w:color="auto"/>
          </w:divBdr>
          <w:divsChild>
            <w:div w:id="612904499">
              <w:marLeft w:val="0"/>
              <w:marRight w:val="0"/>
              <w:marTop w:val="0"/>
              <w:marBottom w:val="0"/>
              <w:divBdr>
                <w:top w:val="none" w:sz="0" w:space="0" w:color="auto"/>
                <w:left w:val="none" w:sz="0" w:space="0" w:color="auto"/>
                <w:bottom w:val="none" w:sz="0" w:space="0" w:color="auto"/>
                <w:right w:val="none" w:sz="0" w:space="0" w:color="auto"/>
              </w:divBdr>
              <w:divsChild>
                <w:div w:id="1404177269">
                  <w:marLeft w:val="15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2037534251">
      <w:bodyDiv w:val="1"/>
      <w:marLeft w:val="0"/>
      <w:marRight w:val="0"/>
      <w:marTop w:val="0"/>
      <w:marBottom w:val="0"/>
      <w:divBdr>
        <w:top w:val="none" w:sz="0" w:space="0" w:color="auto"/>
        <w:left w:val="none" w:sz="0" w:space="0" w:color="auto"/>
        <w:bottom w:val="none" w:sz="0" w:space="0" w:color="auto"/>
        <w:right w:val="none" w:sz="0" w:space="0" w:color="auto"/>
      </w:divBdr>
      <w:divsChild>
        <w:div w:id="1815175178">
          <w:marLeft w:val="0"/>
          <w:marRight w:val="0"/>
          <w:marTop w:val="0"/>
          <w:marBottom w:val="0"/>
          <w:divBdr>
            <w:top w:val="none" w:sz="0" w:space="0" w:color="auto"/>
            <w:left w:val="none" w:sz="0" w:space="0" w:color="auto"/>
            <w:bottom w:val="none" w:sz="0" w:space="0" w:color="auto"/>
            <w:right w:val="none" w:sz="0" w:space="0" w:color="auto"/>
          </w:divBdr>
          <w:divsChild>
            <w:div w:id="1238322061">
              <w:marLeft w:val="0"/>
              <w:marRight w:val="0"/>
              <w:marTop w:val="0"/>
              <w:marBottom w:val="0"/>
              <w:divBdr>
                <w:top w:val="none" w:sz="0" w:space="0" w:color="auto"/>
                <w:left w:val="none" w:sz="0" w:space="0" w:color="auto"/>
                <w:bottom w:val="none" w:sz="0" w:space="0" w:color="auto"/>
                <w:right w:val="none" w:sz="0" w:space="0" w:color="auto"/>
              </w:divBdr>
              <w:divsChild>
                <w:div w:id="2080981262">
                  <w:marLeft w:val="15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7585ADB1-074C-41BB-A84C-35A212839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4</Pages>
  <Words>975</Words>
  <Characters>5363</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6326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 vd Wetering</dc:creator>
  <cp:lastModifiedBy>Luc vd Wetering</cp:lastModifiedBy>
  <cp:revision>1</cp:revision>
  <dcterms:created xsi:type="dcterms:W3CDTF">2015-09-10T12:30:00Z</dcterms:created>
  <dcterms:modified xsi:type="dcterms:W3CDTF">2015-09-10T14:32:00Z</dcterms:modified>
</cp:coreProperties>
</file>